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C4" w:rsidRDefault="00D71FC4" w:rsidP="00D71FC4">
      <w:pPr>
        <w:pStyle w:val="1"/>
        <w:jc w:val="center"/>
        <w:rPr>
          <w:rFonts w:eastAsia="微软雅黑" w:cs="Tahoma"/>
          <w:lang w:eastAsia="zh-Hans"/>
        </w:rPr>
      </w:pPr>
      <w:r>
        <w:rPr>
          <w:rFonts w:eastAsia="微软雅黑" w:cs="Tahoma"/>
          <w:lang w:eastAsia="zh-Hans"/>
        </w:rPr>
        <w:t>关于开展南京市</w:t>
      </w:r>
      <w:r>
        <w:rPr>
          <w:rFonts w:eastAsia="微软雅黑" w:cs="Tahoma"/>
          <w:lang w:eastAsia="zh-Hans"/>
        </w:rPr>
        <w:t>2021</w:t>
      </w:r>
      <w:r>
        <w:rPr>
          <w:rFonts w:eastAsia="微软雅黑" w:cs="Tahoma"/>
          <w:lang w:eastAsia="zh-Hans"/>
        </w:rPr>
        <w:t>年度优秀教育论文评选工作的通知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rPr>
          <w:rFonts w:cs="Tahom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各区教师发展中心（教科所）、市各直属学校：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为推进全市教科研工作的开展，提高教师参与教科研活动的积极性，提升教师教科研能力，促进全市教育的改革与发展，南京市教育局教育科学学术委员会、南京市教育科学研究所和南京教育学会决定在2021年9月开展优秀教育论文的评选工作，现将具体事项通知如下：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一、论文要求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1．内容要求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（1）关于基础教育领域问题的思考；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（2）关于课程改革及课程建设的认识及实践；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（3）关于学科教学方法的实践及探索。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2．形式要求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（1）研究报告；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（2）经验总结；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（3）教学随笔。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3．写作要求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（1）教育论文应具有科学性、创新性和实用性，贴近日常教育教学工作；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（2）主题突出，层次清晰，文风朴实，逻辑严密，言简意赅，表达生动。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二、论文分类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为了便于教育论文的登记、归档、查阅和评审工作，参评教育论文分为以下类别：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中学语文、小学语文、中学数学、小学数学、英语、道德与法治、思想政治、德育（包括班主任工作）、心理、化学、物理、历史、地理、生物学、科学、幼教、职教、信息技术教学、音乐、体育、美术、教育科研、教育管理、卫生保健、特殊教育、综合实践活动、教师教育、其他（以上类别未涵盖的论文均包括在内）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三、论文的征收与文本的要求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1．教育论文征收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2021年教育论文统一委托各区教师发展中心（教科所）负责征收，市直属学校教科室负责征收本学校的参评论文。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2．文本的要求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此次评审为匿名评审，资料不能出现个人的姓名、单位等信息。如违反此项规定，作者自负责任。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3．注意事项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（1）不接收教师个人的直接报送；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（2）参评文章尚未发表或获奖；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（3）原则上参评文章字数在1万字之内；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（4）参评文章作者只限一人；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（5）每位老师只可参评一篇文章。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lastRenderedPageBreak/>
        <w:t>按照南京市职称工作领导小组办公室的相关规定，同一人同一时间参加同一部门的征文评选，只能有一篇文章获奖，以最高等次为算。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四、论文评审的程序和方法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本次评审采取逐级报送、匿名评审、择优评奖的方式，为确保申报工作顺利进行，现将程序通知如下：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1.校级论文的申报、评比</w:t>
      </w:r>
    </w:p>
    <w:p w:rsidR="00D71FC4" w:rsidRDefault="00D71FC4" w:rsidP="00D71FC4">
      <w:pPr>
        <w:pStyle w:val="a9"/>
        <w:spacing w:after="0" w:line="400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各参评教师在以下时段进行网上申报论文：</w:t>
      </w:r>
      <w:r>
        <w:rPr>
          <w:rFonts w:cs="Tahoma" w:hint="eastAsia"/>
          <w:b/>
          <w:bCs/>
          <w:color w:val="000000"/>
          <w:lang w:eastAsia="zh-Hans"/>
        </w:rPr>
        <w:t>2021年9月22日10点—2021年9月30日16点和2021年10月8日10点—2021年10月22日16点。</w:t>
      </w:r>
      <w:r>
        <w:rPr>
          <w:rFonts w:cs="Tahoma" w:hint="eastAsia"/>
          <w:color w:val="000000"/>
          <w:lang w:eastAsia="zh-Hans"/>
        </w:rPr>
        <w:t>请各参评教师提前做好准备，错时提交，避免提交阶段后期网络发生拥堵现象。具体操作步骤详见：</w:t>
      </w:r>
      <w:hyperlink r:id="rId7" w:tgtFrame="_blank" w:history="1">
        <w:r>
          <w:rPr>
            <w:rStyle w:val="a3"/>
            <w:rFonts w:cs="Tahoma" w:hint="eastAsia"/>
            <w:b/>
            <w:bCs/>
            <w:lang w:eastAsia="zh-Hans"/>
          </w:rPr>
          <w:t>南京市2021年度优秀教育论文评选网上申报流程</w:t>
        </w:r>
      </w:hyperlink>
      <w:r>
        <w:rPr>
          <w:rFonts w:cs="Tahoma" w:hint="eastAsia"/>
          <w:b/>
          <w:bCs/>
          <w:color w:val="000000"/>
          <w:lang w:eastAsia="zh-Hans"/>
        </w:rPr>
        <w:t>，</w:t>
      </w:r>
      <w:r>
        <w:rPr>
          <w:rFonts w:cs="Tahoma" w:hint="eastAsia"/>
          <w:color w:val="000000"/>
          <w:lang w:eastAsia="zh-Hans"/>
        </w:rPr>
        <w:t>网报成功后，打印文稿，并上交学校教科室。学校教科室组织专家根据教育论文评分标准（附件1）进行评审，并依据各区教师发展中心（区教科所）关于各校论文申报数量的要求，向区教师发展中心（区教科所）上报优秀校级论文，并填写上报目录（附件2）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市直属学校组织专家根据教育论文评分标准（附件1）遴选出优秀的文章，并填写上报目录（附件3）。其中，一等奖不超过上报到市级参评文章总数的20%，二等奖不超过上报到市级参评文章总数的30%，三等奖不超过上报到市级参评文章总数的50%。如南京市第一中学上报市级参评文章总数为20篇，则上报文章中一等奖4篇、二等奖6篇、三等奖10篇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2.区级优秀教育论文的申报、评比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各区教师发展中心（区教科所）在10月27日之前，接受各校的优秀教育论文。并根据论文评分标准（附件1）评审论文，遴选出区域优秀论文。各区上报市级总数见附录，其中，一等奖不超过上报到市级参评文章总数的20%，二等奖不超过上报到市级参评文章总数的30%，三等奖不超过上报到市级参评文章总数的50%。如鼓楼区上报市级参评文章总数为590篇，则一等奖118篇、二等奖177篇、三等奖295篇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3.市级教育论文申报、评比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各区、市各直属学校在11月5日之前按要求向市教科所推选本区域优秀论文（各区、市各直属学校上报论文的具体数目见附录），各家上报论文总数不得突破上限数。同时，请将所有上报论文</w:t>
      </w:r>
      <w:bookmarkStart w:id="0" w:name="_GoBack"/>
      <w:bookmarkEnd w:id="0"/>
      <w:r>
        <w:rPr>
          <w:rFonts w:cs="Tahoma" w:hint="eastAsia"/>
          <w:color w:val="000000"/>
          <w:lang w:eastAsia="zh-Hans"/>
        </w:rPr>
        <w:t>的电子目录（附件3）传送至市教科所（邮箱地址：njsjykxyjs@163.com），并按照得分情况对论文进行降序排列。市教科所将于11月——12月开展市级优秀论文的初评、复评、终评工作。</w:t>
      </w:r>
    </w:p>
    <w:p w:rsidR="00D71FC4" w:rsidRDefault="00D71FC4" w:rsidP="00D71FC4">
      <w:pPr>
        <w:pStyle w:val="a9"/>
        <w:spacing w:after="0" w:line="259" w:lineRule="auto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五、评选结果公布</w:t>
      </w:r>
    </w:p>
    <w:p w:rsidR="00D71FC4" w:rsidRDefault="00D71FC4" w:rsidP="00D71FC4">
      <w:pPr>
        <w:pStyle w:val="a9"/>
        <w:spacing w:after="0" w:line="259" w:lineRule="auto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b/>
          <w:bCs/>
          <w:color w:val="000000"/>
          <w:lang w:eastAsia="zh-Hans"/>
        </w:rPr>
        <w:t>评审工作结束后，评选结果将在2021年12月31日上网公布，因服务器资源有限，评审结果公布一个月后，评审所有的相关资料不再保留。各区或直属学校统一于2022年5月到南京市教科所教师发展研究室领取获奖证书。</w:t>
      </w:r>
    </w:p>
    <w:p w:rsidR="00D71FC4" w:rsidRDefault="00D71FC4" w:rsidP="00D71FC4">
      <w:pPr>
        <w:pStyle w:val="a9"/>
        <w:spacing w:after="0" w:line="259" w:lineRule="auto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六、联系方式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网络操作问题请联系技术支持电话：025-84598503 服务QQ：2045124848、602067285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七、其他注意事项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采取网络评审方式，不需要纸质文稿，请参评教师自留底稿。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注意网络登录密码的保存。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lastRenderedPageBreak/>
        <w:t>相关证书请妥善保管，遗失不补。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请各区教师发展中心（区教科所）、市直属学校接通知后，广泛宣传发动，认真做好有关工作，并将本通知及有关附件复印转发至有关学校和单位。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 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jc w:val="right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南京市教育局教育科学学术委员会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jc w:val="right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南京市教育科学研究所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jc w:val="right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南京教育学会</w:t>
      </w:r>
    </w:p>
    <w:p w:rsidR="00D71FC4" w:rsidRDefault="00D71FC4" w:rsidP="00D71FC4">
      <w:pPr>
        <w:pStyle w:val="a9"/>
        <w:shd w:val="clear" w:color="auto" w:fill="FFFFFF"/>
        <w:spacing w:after="0" w:line="288" w:lineRule="atLeast"/>
        <w:ind w:firstLine="475"/>
        <w:jc w:val="right"/>
        <w:rPr>
          <w:rFonts w:cs="Tahoma" w:hint="eastAsia"/>
          <w:color w:val="000000"/>
          <w:lang w:eastAsia="zh-Hans"/>
        </w:rPr>
      </w:pPr>
      <w:r>
        <w:rPr>
          <w:rFonts w:cs="Tahoma" w:hint="eastAsia"/>
          <w:color w:val="000000"/>
          <w:lang w:eastAsia="zh-Hans"/>
        </w:rPr>
        <w:t>2021年9月</w:t>
      </w:r>
    </w:p>
    <w:p w:rsidR="00344AF9" w:rsidRPr="00D71FC4" w:rsidRDefault="00344AF9" w:rsidP="00D71FC4"/>
    <w:sectPr w:rsidR="00344AF9" w:rsidRPr="00D7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1C" w:rsidRDefault="00DD651C" w:rsidP="00D71FC4">
      <w:r>
        <w:separator/>
      </w:r>
    </w:p>
  </w:endnote>
  <w:endnote w:type="continuationSeparator" w:id="0">
    <w:p w:rsidR="00DD651C" w:rsidRDefault="00DD651C" w:rsidP="00D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1C" w:rsidRDefault="00DD651C" w:rsidP="00D71FC4">
      <w:r>
        <w:separator/>
      </w:r>
    </w:p>
  </w:footnote>
  <w:footnote w:type="continuationSeparator" w:id="0">
    <w:p w:rsidR="00DD651C" w:rsidRDefault="00DD651C" w:rsidP="00D7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2085"/>
    <w:multiLevelType w:val="multilevel"/>
    <w:tmpl w:val="76E0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97BDF"/>
    <w:multiLevelType w:val="multilevel"/>
    <w:tmpl w:val="F81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7FB"/>
    <w:rsid w:val="00344AF9"/>
    <w:rsid w:val="009D27FB"/>
    <w:rsid w:val="00D71FC4"/>
    <w:rsid w:val="00D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C2F4C-7AB6-4430-94B1-21B9CDC7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71FC4"/>
    <w:pPr>
      <w:widowControl/>
      <w:spacing w:before="300" w:after="150"/>
      <w:jc w:val="left"/>
      <w:outlineLvl w:val="0"/>
    </w:pPr>
    <w:rPr>
      <w:rFonts w:ascii="inherit" w:eastAsia="宋体" w:hAnsi="inherit" w:cs="宋体"/>
      <w:color w:val="333333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F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7F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1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1F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1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1FC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1FC4"/>
    <w:rPr>
      <w:rFonts w:ascii="inherit" w:eastAsia="宋体" w:hAnsi="inherit" w:cs="宋体"/>
      <w:color w:val="333333"/>
      <w:kern w:val="36"/>
      <w:sz w:val="42"/>
      <w:szCs w:val="42"/>
    </w:rPr>
  </w:style>
  <w:style w:type="paragraph" w:styleId="a9">
    <w:name w:val="Normal (Web)"/>
    <w:basedOn w:val="a"/>
    <w:uiPriority w:val="99"/>
    <w:semiHidden/>
    <w:unhideWhenUsed/>
    <w:rsid w:val="00D71FC4"/>
    <w:pPr>
      <w:widowControl/>
      <w:spacing w:after="113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5517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9445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njjks.cn/tzgg/tzgg/cms/post-486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丁兆宝</dc:creator>
  <cp:keywords/>
  <dc:description/>
  <cp:lastModifiedBy>丁兆宝</cp:lastModifiedBy>
  <cp:revision>2</cp:revision>
  <dcterms:created xsi:type="dcterms:W3CDTF">2021-10-08T03:47:00Z</dcterms:created>
  <dcterms:modified xsi:type="dcterms:W3CDTF">2021-10-08T04:06:00Z</dcterms:modified>
</cp:coreProperties>
</file>